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B3A97">
        <w:rPr>
          <w:rFonts w:ascii="Times New Roman" w:hAnsi="Times New Roman" w:cs="Times New Roman"/>
          <w:b/>
          <w:bCs/>
          <w:sz w:val="36"/>
          <w:szCs w:val="36"/>
        </w:rPr>
        <w:t>Маркировка музейных предметов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53.1. Присвоение музейным предметам учетных обозначений (далее - учетная маркировка) осуществляется посредством нанесения на предмет его полного учетного номера, состоящего из следующих обозначений: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шифр фонда и учетный номер по ГИК и книгам поступлений (ГИК или КП - основной фонд, НВФ - научно-вспомогательный фонд, СФ - сырьевой фонд, ЭФ - экспериментальный фонд);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шифр фондовой коллекции и учетный номер по инвентарной книге (например, ДРЖ-524);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шифр и учетный номер по специальной инвентарной книге (например, ЗА-78).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Полное учетное обозначение музейного предмета может иметь вид: ГИМ-1612/М-67/ЗА-5.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В случае если размер музейного предмета не позволяет нанести на его поверхность полный учетный номер, допускается нанесение только шифра фондовой коллекции и учетного номера по инвентарной книге (например, ДРЖ-524).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По решению ответственного хранителя или реставратора, возможно прикрепление подвесных учетных номеров к предмету.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53.2. Хранение и экспонирование музейных предметов без учетных обозначений не допускается.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53.3. Учетная маркировка предметов осуществляется ручным, механическим способами и, например, цифровой маркировкой, нанесением специальных идентифицирующих химически инертных составов, меток без ущерба их внешнему виду и состоянию сохранности.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53.4. При ручной и механической учетной маркировке музейных предметов применяются следующие способы нанесения их постоянных учетных обозначений: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lastRenderedPageBreak/>
        <w:t>на произведениях живописи - краской на верхней или нижней планке подрамника;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картинах без подрамников - на кромке холста с оборотной стороны картины;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картинах большого размера - дважды (сверху и снизу);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иконах (досках) - белой или светлой голубой краской на торце или обороте доски;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двухсторонних иконах - краской на торце;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акварелях, рисунках, гравюрах, плакатах, отдельных рукописных листах, не оформленных в паспарту - на обороте листа в одном из углов;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предметах, оформленных в паспарту - на паспарту;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на предмете, не подлежащем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раскантовке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- на его окантовке, о чем в инвентарной книге делается соответствующая запись;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альбомах с рисунками, гравюрами, фотографиями, образцами тканей - на обороте титульного листа и на каждом листе альбома;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произведениях скульптуры - краской сзади на нижнем углу плинта;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крупногабаритной скульптуре - краской сзади на плинте нижней части или оборотной стороны подножия, таким образом, чтобы это не искажало внешний вид музейного предмета; на рельефах, прикрепляемых к стене, архитектурных фрагментах (фризы, колонны, карнизы) - на торцах, а при необходимости - в двух местах с разных сторон, но так, чтобы это не искажало внешний вид музейного предмета;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мелкой скульптуре или предметах декоративно-прикладного искусства из камня, которые можно держать в руках, - краской на основании плинта или подножия;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предметах декоративно-прикладного искусства из камня - краской сзади на плинте;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на предметах из керамики стекла, дерева, металла - эмалевой краской или тушью с последующим покрытием туши прозрачным лаком. На предметах с неровной и шершавой поверхностью применяются этикетки, закрепленные </w:t>
      </w:r>
      <w:r w:rsidRPr="006B3A97">
        <w:rPr>
          <w:rFonts w:ascii="Times New Roman" w:hAnsi="Times New Roman" w:cs="Times New Roman"/>
          <w:sz w:val="28"/>
          <w:szCs w:val="28"/>
        </w:rPr>
        <w:lastRenderedPageBreak/>
        <w:t>специальным клеем, рекомендованным реставраторами;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миниатюрах, монетах, медалях, геммах, камнях, крестах, мелких археологических предметах и фрагментах - на их монтировке, индивидуальной упаковке (конверты, футляры, коробки) или на подвешенных этикетках из плотного картона или металла;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крупногабаритных предметах из дерева, в том числе мебели, - эмалевой или масляной краской в местах, не покрытых лаком, политурой или фанеровкой;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расписанных и резных предметах (прялки, рубели) - на местах, свободных от росписи и резьбы;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открывающихся предметах (шкатулки, табакерки) - на внутренней поверхности с использованием этикетки на рыбьем клее;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огнестрельном оружии - на внутренней стороне спусковой скобы или подвешенной этикете (картонной или металлической);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холодном оружии - на рукояти или подвешенной этикетке (картонной или металлической);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оборонительном вооружении (шлемы, щиты) - на внутренней стороне;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на тканях этикетка (с предварительно написанными номерами) из светлой плотной материи (коленкор, полотно,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киперная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лента) пришивается с изнанки. К несшитому предмету (ковер, платок, отрез материи) этикетка пришивается к одному из углов с изнанки;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редких книгах и сброшюрованных документах штамп и номера проставляются на обороте последнего листа либо на внутренней стороне обложки;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отдельных документах - на обороте листа в углу карандашом;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на фотоотпечатках, не наклеенных на бланк на бумажной основе, для маркировки используется карандаш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чернографитовый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со степенью твердости М-2М. Маркировка осуществляется на оборотной стороне фотографии в нижнем углу;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lastRenderedPageBreak/>
        <w:t>для фотоотпечатков на полиэтиленовых бумагах рекомендуется использовать архивно-безопасные инструмент-карандаши;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для маркировки дагерротипов,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амбротипов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ферротипов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целесообразно применять этикетки, закрепленные клеем на основе желатина, поливинилацетата и ацетилцеллюлозы. Не допускается применять силикатный, казеиновый и резиновый клей на основе латекса;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негативы на стеклянной основе маркируются в нижней части негатива на эмульсионном слое, в месте свободном от изображения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чернографитовым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карандашом со степенью твердости М-2М либо процарапывается шилом;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негативы на основе полимерной пленки маркируются на стороне свободной от эмульсионного слоя карандашом со степенью твердости М-2М;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конверте, в котором помещены негативы, путем размещения наклейки или штампа;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даггеротипах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амбротипах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ферротипах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- на этикетках, закрепленных специальным клеем, рекомендованным реставраторами;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тушках животных и птиц - на специальных подвесных этикетках (ярлыках);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чучелах - на подставках;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препаратах, заключенных в банки или постоянные футляры - на наружной стороне банки или футляра;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гербарных листах - на каждом листе внизу;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геологических и палеонтологических образцах - непосредственно на предметах;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почвенных образцах - на стенке ящиков с монолитами или на банках и коробках с образцами;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на сыпучих образцах - на упаковке.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53.5. На предметах с бумажной основой (рисунки, гравюры, плакаты, рукописи) или на ярлыках на тканевой основе для пришивания их к предметам из тканей, применяются специально изготовленные штампы размером не более 15 x 30 мм. Учетные обозначения на штампе проставляются краской или </w:t>
      </w:r>
      <w:r w:rsidRPr="006B3A97">
        <w:rPr>
          <w:rFonts w:ascii="Times New Roman" w:hAnsi="Times New Roman" w:cs="Times New Roman"/>
          <w:sz w:val="28"/>
          <w:szCs w:val="28"/>
        </w:rPr>
        <w:lastRenderedPageBreak/>
        <w:t>тушью.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53.6. Все учетные обозначения (шифры и номера) музея, нанесенные на предметы, подлежащие замене на новые номера или шифры, сохраняются на предметах, и погашаются посредством зачеркивания одной чертой, чтобы данные читались и просматривались.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Ярлыки, этикетки и надписи старых музейных собраний, частных коллекций или выставочных залов, отражающие историю предмета и музейного собирательства, погашению посредством зачеркивания и отделению от музейного предмета не подлежат.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53.7. Предметы, поступившие в музей на временное хранение (временное экспонирование, реставрация), маркируются упрощенной техникой: номера временного хранения (временного пользования) наносятся карандашом или обозначаются на подвесных ярлыках.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53.8. Система учетной маркировки и способы нанесения учетных обозначений на каждый вид музейных предметов определяются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Внутримузейными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Применение при маркировке новых материалов (клей, краска) согласовывается с реставраторами.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53.9. В целях обеспечения безопасности, защиты музейного предмета от преступных посягательств (включая хищение) и идентификации музейного предмета на него наносится охранная маркировка.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53.10. Охранная маркировка осуществляется путем нанесения на музейный предмет средства идентификации (например, химической метки, радиочастотной метки).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53.11. Средство идентификации должно быть безвредным для здоровья человека при экспонировании или хранении музейных предметов в фондохранилищах и залах музея, с учетом временного фактора воздействия на персонал и посетителей.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53.12. Средство идентификации должно быть безвредным для здоровья маркировщиков, реставраторов и сотрудников, непосредственно вступающим </w:t>
      </w:r>
      <w:r w:rsidRPr="006B3A97">
        <w:rPr>
          <w:rFonts w:ascii="Times New Roman" w:hAnsi="Times New Roman" w:cs="Times New Roman"/>
          <w:sz w:val="28"/>
          <w:szCs w:val="28"/>
        </w:rPr>
        <w:lastRenderedPageBreak/>
        <w:t>в контакт с маркированным музейным предметом.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53.13. Средство идентификации должно быть безопасным по отношению к состоянию сохранности музейного предмета во время маркировки, хранения и перемещения музейного предмета, а также при его идентификации.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53.14. Средство идентификации не должно вносить изменения в структуру музейного предмета.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53.15. В случае нанесения химической метки на музейный предмет используется уникальный бесцветный маркировочный состав. Маркировочный состав должен обладать следующими характеристиками: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групповыми идентификационными признаками, совокупность которых определяется с помощью специального портативного детектора;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невидимый в естественном освещении, но визуально читаем при использовании спектральных осветителей (портативного детектора);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высокая устойчивость к механическим воздействиям (стирание, повреждение);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повышенная устойчивость к внешним воздействиям (тепла, влаги, света и иным).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 xml:space="preserve">53.16. Прогнозируемая </w:t>
      </w:r>
      <w:proofErr w:type="spellStart"/>
      <w:r w:rsidRPr="006B3A97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Pr="006B3A97">
        <w:rPr>
          <w:rFonts w:ascii="Times New Roman" w:hAnsi="Times New Roman" w:cs="Times New Roman"/>
          <w:sz w:val="28"/>
          <w:szCs w:val="28"/>
        </w:rPr>
        <w:t xml:space="preserve"> охранной маркировки, а также ее идентификационных признаков на поверхности маркированных музейных предметов должна составлять не менее 50 лет.</w:t>
      </w:r>
    </w:p>
    <w:p w:rsidR="006B3A97" w:rsidRPr="006B3A97" w:rsidRDefault="006B3A97" w:rsidP="006B3A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97">
        <w:rPr>
          <w:rFonts w:ascii="Times New Roman" w:hAnsi="Times New Roman" w:cs="Times New Roman"/>
          <w:sz w:val="28"/>
          <w:szCs w:val="28"/>
        </w:rPr>
        <w:t>53.17. Система охранной маркировки музейных предметов, требования к средству идентификации, используемого в музее, правила нанесения охранной маркировки, а также сроки и этапы введения системы охранной маркировки музейных предметов в музее определяются учредителем музея.</w:t>
      </w:r>
    </w:p>
    <w:p w:rsidR="009B4C44" w:rsidRPr="006B3A97" w:rsidRDefault="009B4C44" w:rsidP="006B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4C44" w:rsidRPr="006B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97"/>
    <w:rsid w:val="006B3A97"/>
    <w:rsid w:val="009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3044-71DE-4644-8594-9DAC13A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2024-03-31T07:24:00Z</dcterms:created>
  <dcterms:modified xsi:type="dcterms:W3CDTF">2024-03-31T07:31:00Z</dcterms:modified>
</cp:coreProperties>
</file>